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lastRenderedPageBreak/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operaçãoaos objetivos estratégicos. Este espaço poderá ser utilizado para fundamentar e/ ouesclarecer os dados introduzidos, caracterizando o investimento proposto com odetalhe necessário para permitir ao analista a verificação da razoabilidade do valor doinvestimento e da necessidade da sua realização. A ausência de uma descrição detalhada doinvestimento poderá impedir o técnico de emitir uma opinião e considerar, nesse caso, oinvestimento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 xml:space="preserve">As caraterísticas e posicionamento dos principais produtos, bem como a suarepresentatividade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aque, em sede de análise, seja possível analisar a sua coerência. De referir que, emcaso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quedeterminados equipamentos como caixas e paletes não necessitam de serarmazenados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paraa circulação de veículos que transportam produtos finais e veículos que transportamresíduos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asdiferentes componentes do investimento devem ser compatíveis entre si por forma a assegurar que o coeficiente de transformação industrial, durante o ciclo detransformação,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F5" w:rsidRDefault="00AB36F5" w:rsidP="00F06FBC">
      <w:pPr>
        <w:spacing w:before="0" w:after="0"/>
      </w:pPr>
      <w:r>
        <w:separator/>
      </w:r>
    </w:p>
  </w:endnote>
  <w:endnote w:type="continuationSeparator" w:id="1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CC35D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CC3E3A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CC3E3A" w:rsidRPr="00CC3E3A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F5" w:rsidRDefault="00AB36F5" w:rsidP="00F06FBC">
      <w:pPr>
        <w:spacing w:before="0" w:after="0"/>
      </w:pPr>
      <w:r>
        <w:separator/>
      </w:r>
    </w:p>
  </w:footnote>
  <w:footnote w:type="continuationSeparator" w:id="1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8D3C56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196215</wp:posOffset>
          </wp:positionV>
          <wp:extent cx="2137410" cy="62611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1334135</wp:posOffset>
          </wp:positionH>
          <wp:positionV relativeFrom="paragraph">
            <wp:posOffset>295275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43pt;margin-top:78.85pt;width:494.6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>
      <w:rPr>
        <w:noProof/>
      </w:rPr>
      <w:drawing>
        <wp:inline distT="0" distB="0" distL="0" distR="0">
          <wp:extent cx="1066800" cy="1066800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3C56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CC35D7"/>
    <w:rsid w:val="00CC3E3A"/>
    <w:rsid w:val="00D277AB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BAFE-18DF-4B62-AC19-5A1BAB0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Miguel</cp:lastModifiedBy>
  <cp:revision>4</cp:revision>
  <cp:lastPrinted>2016-08-29T14:30:00Z</cp:lastPrinted>
  <dcterms:created xsi:type="dcterms:W3CDTF">2016-08-29T14:27:00Z</dcterms:created>
  <dcterms:modified xsi:type="dcterms:W3CDTF">2016-08-29T14:31:00Z</dcterms:modified>
</cp:coreProperties>
</file>